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1B7574">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6C170A69" w:rsidR="00F92268" w:rsidRPr="00FF66BF" w:rsidRDefault="00A90F40" w:rsidP="001B7574">
            <w:pPr>
              <w:pStyle w:val="RefTableData"/>
            </w:pPr>
            <w:r w:rsidRPr="00A90F40">
              <w:t>6225-A</w:t>
            </w:r>
          </w:p>
        </w:tc>
      </w:tr>
    </w:tbl>
    <w:p w14:paraId="74FBA5B4" w14:textId="77777777" w:rsidR="00051356" w:rsidRPr="008A137F" w:rsidRDefault="00051356" w:rsidP="00A672B3">
      <w:pPr>
        <w:pStyle w:val="BodyText"/>
        <w:rPr>
          <w:sz w:val="16"/>
          <w:szCs w:val="16"/>
        </w:rPr>
        <w:sectPr w:rsidR="00051356" w:rsidRPr="008A137F" w:rsidSect="006F478A">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63E102CD" w:rsidR="004B15BB" w:rsidRPr="00BD1CC1" w:rsidRDefault="008F2C9A" w:rsidP="007E5C16">
      <w:pPr>
        <w:pStyle w:val="Heading1"/>
      </w:pPr>
      <w:r w:rsidRPr="008F2C9A">
        <w:t>Specialty Guideline Management</w:t>
      </w:r>
      <w:r>
        <w:br/>
      </w:r>
      <w:proofErr w:type="spellStart"/>
      <w:r w:rsidRPr="008F2C9A">
        <w:t>Agamree</w:t>
      </w:r>
      <w:proofErr w:type="spellEnd"/>
    </w:p>
    <w:p w14:paraId="78861C92" w14:textId="02BD979D" w:rsidR="00203468" w:rsidRPr="00BD1CC1" w:rsidRDefault="00C64534" w:rsidP="008E0F0D">
      <w:pPr>
        <w:pStyle w:val="Heading2"/>
      </w:pPr>
      <w:r w:rsidRPr="00BD1CC1">
        <w:t xml:space="preserve">Products Referenced by this </w:t>
      </w:r>
      <w:r w:rsidR="00501602" w:rsidRPr="00BD1CC1">
        <w:t>Document</w:t>
      </w:r>
    </w:p>
    <w:p w14:paraId="5455152B" w14:textId="31A6B2EE"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9F5C95">
        <w:t>Over-the-counter (</w:t>
      </w:r>
      <w:r w:rsidRPr="00BD1CC1">
        <w:t>OTC</w:t>
      </w:r>
      <w:r w:rsidR="009F5C95">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0C5A6F">
        <w:trPr>
          <w:cantSplit/>
          <w:trHeight w:val="288"/>
          <w:tblHeader/>
        </w:trPr>
        <w:tc>
          <w:tcPr>
            <w:tcW w:w="526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59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0C5A6F">
        <w:trPr>
          <w:cantSplit/>
        </w:trPr>
        <w:tc>
          <w:tcPr>
            <w:tcW w:w="5265" w:type="dxa"/>
          </w:tcPr>
          <w:p w14:paraId="2D8FA8E3" w14:textId="44FB77A9" w:rsidR="00585FFF" w:rsidRPr="00BD1CC1" w:rsidRDefault="008F2C9A" w:rsidP="00E82ABA">
            <w:pPr>
              <w:pStyle w:val="TableDataUnpadded"/>
            </w:pPr>
            <w:proofErr w:type="spellStart"/>
            <w:r w:rsidRPr="008F2C9A">
              <w:t>Agamree</w:t>
            </w:r>
            <w:proofErr w:type="spellEnd"/>
          </w:p>
        </w:tc>
        <w:tc>
          <w:tcPr>
            <w:tcW w:w="5595" w:type="dxa"/>
          </w:tcPr>
          <w:p w14:paraId="7E26A004" w14:textId="121034D8" w:rsidR="00585FFF" w:rsidRPr="00BD1CC1" w:rsidRDefault="008F2C9A" w:rsidP="00E82ABA">
            <w:pPr>
              <w:pStyle w:val="TableDataUnpadded"/>
            </w:pPr>
            <w:proofErr w:type="spellStart"/>
            <w:r w:rsidRPr="008F2C9A">
              <w:t>vamorolone</w:t>
            </w:r>
            <w:proofErr w:type="spellEnd"/>
          </w:p>
        </w:tc>
      </w:tr>
    </w:tbl>
    <w:bookmarkEnd w:id="0"/>
    <w:p w14:paraId="14CE6108" w14:textId="66A012FC" w:rsidR="00FC1AAD" w:rsidRDefault="00ED052F" w:rsidP="00AA2A94">
      <w:pPr>
        <w:pStyle w:val="Heading2"/>
        <w:tabs>
          <w:tab w:val="left" w:pos="9540"/>
        </w:tabs>
      </w:pPr>
      <w:r>
        <w:t>Indications</w:t>
      </w:r>
    </w:p>
    <w:p w14:paraId="288E0D05" w14:textId="72331FB4" w:rsidR="008F2C9A" w:rsidRPr="008F2C9A" w:rsidRDefault="008F2C9A" w:rsidP="008F2C9A">
      <w:r w:rsidRPr="008F2C9A">
        <w:t>The indications below including FDA-approved indications and compendial uses are considered a covered benefit provided that all the approval criteria are met and the member has no exclusions to the prescribed therapy.</w:t>
      </w:r>
    </w:p>
    <w:p w14:paraId="134B5687" w14:textId="1936EFC2" w:rsidR="00ED052F" w:rsidRPr="008F2C9A" w:rsidRDefault="00ED052F" w:rsidP="00ED052F">
      <w:pPr>
        <w:pStyle w:val="Heading3"/>
        <w:keepNext w:val="0"/>
      </w:pPr>
      <w:r w:rsidRPr="00BD1CC1">
        <w:t>FDA-approved Indications</w:t>
      </w:r>
      <w:r w:rsidR="008F2C9A" w:rsidRPr="008F2C9A">
        <w:rPr>
          <w:vertAlign w:val="superscript"/>
        </w:rPr>
        <w:t>1</w:t>
      </w:r>
    </w:p>
    <w:p w14:paraId="7D18F7AB" w14:textId="77777777" w:rsidR="008F2C9A" w:rsidRDefault="008F2C9A" w:rsidP="008F2C9A">
      <w:proofErr w:type="spellStart"/>
      <w:r>
        <w:t>Agamree</w:t>
      </w:r>
      <w:proofErr w:type="spellEnd"/>
      <w:r>
        <w:t xml:space="preserve"> is indicated for the treatment of Duchenne muscular dystrophy (DMD) in patients 2 years of age and older.</w:t>
      </w:r>
    </w:p>
    <w:p w14:paraId="711E1F88" w14:textId="2091D676" w:rsidR="008F2C9A" w:rsidRPr="008F2C9A" w:rsidRDefault="008F2C9A" w:rsidP="008F2C9A">
      <w:pPr>
        <w:spacing w:before="120"/>
      </w:pPr>
      <w:r>
        <w:t>All other indications are considered experimental/investigational and not medically necessary.</w:t>
      </w:r>
    </w:p>
    <w:p w14:paraId="36381B6D" w14:textId="2CF2BD83" w:rsidR="000D2496" w:rsidRDefault="000D2496" w:rsidP="000D2496">
      <w:pPr>
        <w:pStyle w:val="Heading2"/>
      </w:pPr>
      <w:r w:rsidRPr="00BD1CC1">
        <w:t>Documentation</w:t>
      </w:r>
    </w:p>
    <w:p w14:paraId="71462272" w14:textId="77777777" w:rsidR="00172B19" w:rsidRDefault="00172B19" w:rsidP="001B7574">
      <w:pPr>
        <w:pStyle w:val="BodyText"/>
      </w:pPr>
      <w:r>
        <w:t>Submission of the following information is necessary to initiate the prior authorization review:</w:t>
      </w:r>
    </w:p>
    <w:p w14:paraId="2AA46427" w14:textId="1EB5ADAC" w:rsidR="00172B19" w:rsidRPr="00172B19" w:rsidRDefault="00172B19" w:rsidP="00172B19">
      <w:pPr>
        <w:pStyle w:val="ListParagraph"/>
        <w:numPr>
          <w:ilvl w:val="0"/>
          <w:numId w:val="28"/>
        </w:numPr>
        <w:contextualSpacing w:val="0"/>
      </w:pPr>
      <w:r w:rsidRPr="00172B19">
        <w:t>Laboratory confirmation of the DMD diagnosis by genetic testing or muscle biopsy.</w:t>
      </w:r>
    </w:p>
    <w:p w14:paraId="48E43D4F" w14:textId="193790F2" w:rsidR="00172B19" w:rsidRPr="00172B19" w:rsidRDefault="00172B19" w:rsidP="00172B19">
      <w:pPr>
        <w:pStyle w:val="ListParagraph"/>
        <w:numPr>
          <w:ilvl w:val="0"/>
          <w:numId w:val="28"/>
        </w:numPr>
        <w:contextualSpacing w:val="0"/>
      </w:pPr>
      <w:r w:rsidRPr="00172B19">
        <w:t>Chart documentation of weight gain/obesity, persistent psychiatric/behavioral issues, and/or growth stunting with previous prednisone, prednisolone, or deflazacort treatment (where applicable).</w:t>
      </w:r>
    </w:p>
    <w:p w14:paraId="4A5B15F8" w14:textId="25321F85" w:rsidR="00006174" w:rsidRDefault="00006174" w:rsidP="00A90F40">
      <w:pPr>
        <w:pStyle w:val="Heading2"/>
        <w:tabs>
          <w:tab w:val="left" w:pos="9260"/>
        </w:tabs>
      </w:pPr>
      <w:r w:rsidRPr="00BD1CC1">
        <w:lastRenderedPageBreak/>
        <w:t>Prescriber Specialties</w:t>
      </w:r>
    </w:p>
    <w:p w14:paraId="05B78DE1" w14:textId="751398A0" w:rsidR="00BD0E54" w:rsidRPr="00BD0E54" w:rsidRDefault="00BD0E54" w:rsidP="008A137F">
      <w:pPr>
        <w:pStyle w:val="BodyText"/>
      </w:pPr>
      <w:r w:rsidRPr="00BD0E54">
        <w:t xml:space="preserve">This medication must be </w:t>
      </w:r>
      <w:r w:rsidRPr="008A137F">
        <w:t>prescribed</w:t>
      </w:r>
      <w:r w:rsidRPr="00BD0E54">
        <w:t xml:space="preserve"> by or in consultation with a physician who specializes in the treatment of Duchenne muscular dystrophy (DMD).</w:t>
      </w:r>
    </w:p>
    <w:p w14:paraId="50A38FBA" w14:textId="5ED2AD7D" w:rsidR="00FE0C63" w:rsidRDefault="00685107" w:rsidP="00E050E1">
      <w:pPr>
        <w:pStyle w:val="Heading2"/>
      </w:pPr>
      <w:r>
        <w:t>Coverage Criteria</w:t>
      </w:r>
    </w:p>
    <w:p w14:paraId="1A7EAB37" w14:textId="687DC770" w:rsidR="00636646" w:rsidRDefault="00636646" w:rsidP="00636646">
      <w:pPr>
        <w:pStyle w:val="Heading3"/>
      </w:pPr>
      <w:r>
        <w:t>Duchenne Muscular Dystrophy</w:t>
      </w:r>
      <w:r w:rsidRPr="00636646">
        <w:rPr>
          <w:vertAlign w:val="superscript"/>
        </w:rPr>
        <w:t>1</w:t>
      </w:r>
      <w:r w:rsidR="008649A1">
        <w:rPr>
          <w:vertAlign w:val="superscript"/>
        </w:rPr>
        <w:t>-4</w:t>
      </w:r>
    </w:p>
    <w:p w14:paraId="087B16E7" w14:textId="77777777" w:rsidR="00636646" w:rsidRDefault="00636646" w:rsidP="008A137F">
      <w:pPr>
        <w:pStyle w:val="BodyText"/>
      </w:pPr>
      <w:r>
        <w:t>Authorization of 6 months may be granted for the treatment of DMD when all of the following criteria are met:</w:t>
      </w:r>
    </w:p>
    <w:p w14:paraId="752A5F0D" w14:textId="5F0CD095" w:rsidR="00636646" w:rsidRPr="00636646" w:rsidRDefault="00636646" w:rsidP="00636646">
      <w:pPr>
        <w:pStyle w:val="ListParagraph"/>
        <w:numPr>
          <w:ilvl w:val="0"/>
          <w:numId w:val="30"/>
        </w:numPr>
        <w:contextualSpacing w:val="0"/>
      </w:pPr>
      <w:r w:rsidRPr="00636646">
        <w:t>The diagnosis of DMD was confirmed by either of the following:</w:t>
      </w:r>
    </w:p>
    <w:p w14:paraId="758D6C55" w14:textId="4C147938" w:rsidR="00636646" w:rsidRPr="00636646" w:rsidRDefault="00636646" w:rsidP="00636646">
      <w:pPr>
        <w:pStyle w:val="ListParagraph"/>
        <w:numPr>
          <w:ilvl w:val="1"/>
          <w:numId w:val="32"/>
        </w:numPr>
        <w:contextualSpacing w:val="0"/>
      </w:pPr>
      <w:r w:rsidRPr="00636646">
        <w:t>Genetic testing documenting a mutation in the DMD gene.</w:t>
      </w:r>
    </w:p>
    <w:p w14:paraId="4D81E766" w14:textId="1C8F0AF2" w:rsidR="00636646" w:rsidRPr="00636646" w:rsidRDefault="00636646" w:rsidP="00636646">
      <w:pPr>
        <w:pStyle w:val="ListParagraph"/>
        <w:numPr>
          <w:ilvl w:val="1"/>
          <w:numId w:val="32"/>
        </w:numPr>
        <w:contextualSpacing w:val="0"/>
      </w:pPr>
      <w:r w:rsidRPr="00636646">
        <w:t>Muscle biopsy documenting absent dystrophin.</w:t>
      </w:r>
    </w:p>
    <w:p w14:paraId="0B970AE6" w14:textId="2955544F" w:rsidR="00636646" w:rsidRPr="00636646" w:rsidRDefault="00636646" w:rsidP="00636646">
      <w:pPr>
        <w:pStyle w:val="ListParagraph"/>
        <w:numPr>
          <w:ilvl w:val="0"/>
          <w:numId w:val="30"/>
        </w:numPr>
        <w:contextualSpacing w:val="0"/>
      </w:pPr>
      <w:r w:rsidRPr="00636646">
        <w:t>Member is 2 years of age or older.</w:t>
      </w:r>
    </w:p>
    <w:p w14:paraId="3C89E109" w14:textId="7A43C024" w:rsidR="00636646" w:rsidRPr="00636646" w:rsidRDefault="00636646" w:rsidP="00636646">
      <w:pPr>
        <w:pStyle w:val="ListParagraph"/>
        <w:numPr>
          <w:ilvl w:val="0"/>
          <w:numId w:val="30"/>
        </w:numPr>
        <w:contextualSpacing w:val="0"/>
      </w:pPr>
      <w:r w:rsidRPr="00636646">
        <w:t>Member meets one of the following criteria:</w:t>
      </w:r>
    </w:p>
    <w:p w14:paraId="108AFB0D" w14:textId="15021591" w:rsidR="00636646" w:rsidRPr="00636646" w:rsidRDefault="00636646" w:rsidP="00636646">
      <w:pPr>
        <w:pStyle w:val="ListParagraph"/>
        <w:numPr>
          <w:ilvl w:val="1"/>
          <w:numId w:val="33"/>
        </w:numPr>
        <w:contextualSpacing w:val="0"/>
      </w:pPr>
      <w:r w:rsidRPr="00636646">
        <w:t>Member has experienced unmanageable and/or clinically significant weight gain/obesity as evidenced by body mass index in the overweight or obese category while receiving treatment with prednisone or prednisolone (refer to Appendix for weight status categories for children and adults).</w:t>
      </w:r>
    </w:p>
    <w:p w14:paraId="3ECDE0F6" w14:textId="79FCA7E3" w:rsidR="00636646" w:rsidRPr="00636646" w:rsidRDefault="00636646" w:rsidP="00636646">
      <w:pPr>
        <w:pStyle w:val="ListParagraph"/>
        <w:numPr>
          <w:ilvl w:val="1"/>
          <w:numId w:val="33"/>
        </w:numPr>
        <w:contextualSpacing w:val="0"/>
      </w:pPr>
      <w:r w:rsidRPr="00636646">
        <w:t>Member has experienced unmanageable and/or clinically significant psychiatric/behavioral issues (e.g., abnormal behavior, aggression, irritability) with prednisone or prednisolone.</w:t>
      </w:r>
    </w:p>
    <w:p w14:paraId="7B3C22E4" w14:textId="4133E9BE" w:rsidR="00636646" w:rsidRPr="00636646" w:rsidRDefault="00636646" w:rsidP="00636646">
      <w:pPr>
        <w:pStyle w:val="ListParagraph"/>
        <w:numPr>
          <w:ilvl w:val="1"/>
          <w:numId w:val="33"/>
        </w:numPr>
        <w:contextualSpacing w:val="0"/>
      </w:pPr>
      <w:r w:rsidRPr="00636646">
        <w:t>Member has experienced clinically significant growth stunting while receiving treatment with prednisone, prednisolone, or deflazacort as evidenced by any of the following:</w:t>
      </w:r>
    </w:p>
    <w:p w14:paraId="4D1389C0" w14:textId="2E0ED2D4" w:rsidR="00636646" w:rsidRPr="00636646" w:rsidRDefault="00636646" w:rsidP="00636646">
      <w:pPr>
        <w:pStyle w:val="ListParagraph"/>
        <w:numPr>
          <w:ilvl w:val="2"/>
          <w:numId w:val="34"/>
        </w:numPr>
        <w:contextualSpacing w:val="0"/>
      </w:pPr>
      <w:r w:rsidRPr="00636646">
        <w:t>Decline in mean height percentile for age from baseline</w:t>
      </w:r>
    </w:p>
    <w:p w14:paraId="01986D96" w14:textId="41E0CBA7" w:rsidR="00636646" w:rsidRPr="00636646" w:rsidRDefault="00636646" w:rsidP="00636646">
      <w:pPr>
        <w:pStyle w:val="ListParagraph"/>
        <w:numPr>
          <w:ilvl w:val="2"/>
          <w:numId w:val="34"/>
        </w:numPr>
        <w:contextualSpacing w:val="0"/>
      </w:pPr>
      <w:r w:rsidRPr="00636646">
        <w:t>Decrease in growth trajectory and/or growth velocity</w:t>
      </w:r>
    </w:p>
    <w:p w14:paraId="3CE2282B" w14:textId="42079E98" w:rsidR="00636646" w:rsidRPr="00636646" w:rsidRDefault="00636646" w:rsidP="00636646">
      <w:pPr>
        <w:pStyle w:val="ListParagraph"/>
        <w:numPr>
          <w:ilvl w:val="2"/>
          <w:numId w:val="34"/>
        </w:numPr>
        <w:contextualSpacing w:val="0"/>
      </w:pPr>
      <w:r w:rsidRPr="00636646">
        <w:t xml:space="preserve">Reduction in serum biomarkers of bone formation (e.g., osteocalcin, procollagen 1 intact N-terminal </w:t>
      </w:r>
      <w:proofErr w:type="spellStart"/>
      <w:r w:rsidRPr="00636646">
        <w:t>propeptide</w:t>
      </w:r>
      <w:proofErr w:type="spellEnd"/>
      <w:r w:rsidRPr="00636646">
        <w:t xml:space="preserve"> [P1NP]) and/or bone turnover (e.g., type 1 collage cross-linked C-telopeptide [CTX1]).</w:t>
      </w:r>
    </w:p>
    <w:p w14:paraId="3A643EC3" w14:textId="2B73D66F" w:rsidR="00A501AC" w:rsidRDefault="00A501AC" w:rsidP="00A501AC">
      <w:pPr>
        <w:pStyle w:val="Heading2"/>
      </w:pPr>
      <w:r w:rsidRPr="00BD1CC1">
        <w:t>Continuation of Therapy</w:t>
      </w:r>
    </w:p>
    <w:p w14:paraId="41138FEA" w14:textId="77777777" w:rsidR="00636646" w:rsidRDefault="00636646" w:rsidP="008A137F">
      <w:pPr>
        <w:pStyle w:val="BodyText"/>
      </w:pPr>
      <w:r>
        <w:t>Authorization of 12 months may be granted for members requesting continuation of therapy when all of the following criteria are met:</w:t>
      </w:r>
    </w:p>
    <w:p w14:paraId="2684D4DB" w14:textId="590FC958" w:rsidR="00636646" w:rsidRPr="00636646" w:rsidRDefault="00636646" w:rsidP="00636646">
      <w:pPr>
        <w:pStyle w:val="ListParagraph"/>
        <w:numPr>
          <w:ilvl w:val="0"/>
          <w:numId w:val="35"/>
        </w:numPr>
        <w:contextualSpacing w:val="0"/>
      </w:pPr>
      <w:r w:rsidRPr="00636646">
        <w:t>The member meets all requirements in the coverage criteria section.</w:t>
      </w:r>
    </w:p>
    <w:p w14:paraId="2A49C76D" w14:textId="57FF3F63" w:rsidR="00636646" w:rsidRPr="00636646" w:rsidRDefault="00636646" w:rsidP="00636646">
      <w:pPr>
        <w:pStyle w:val="ListParagraph"/>
        <w:numPr>
          <w:ilvl w:val="0"/>
          <w:numId w:val="35"/>
        </w:numPr>
        <w:contextualSpacing w:val="0"/>
      </w:pPr>
      <w:r w:rsidRPr="00636646">
        <w:lastRenderedPageBreak/>
        <w:t>The member is receiving a clinical benefit from therapy with the requested medication (e.g., improvement or stabilization in muscle strength and/or motor function).</w:t>
      </w:r>
    </w:p>
    <w:p w14:paraId="784D6ED7" w14:textId="5CFA2AB1" w:rsidR="008B1332" w:rsidRPr="00BD1CC1" w:rsidRDefault="00B65538" w:rsidP="009B21BE">
      <w:pPr>
        <w:pStyle w:val="Heading2"/>
        <w:tabs>
          <w:tab w:val="clear" w:pos="2880"/>
          <w:tab w:val="right" w:pos="10800"/>
        </w:tabs>
      </w:pPr>
      <w:r w:rsidRPr="00BD1CC1">
        <w:t>Appendix</w:t>
      </w:r>
    </w:p>
    <w:p w14:paraId="594B746C" w14:textId="21275FD3" w:rsidR="008B18B3" w:rsidRPr="008A137F" w:rsidRDefault="008B18B3" w:rsidP="008A137F">
      <w:pPr>
        <w:pStyle w:val="Heading3"/>
      </w:pPr>
      <w:r w:rsidRPr="008A137F">
        <w:t>Body Mass Index Percentile and Weight Status Category for Children 2 Through 19 Years of Age</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8B18B3" w:rsidRPr="00BD1CC1" w14:paraId="3E42C0F1" w14:textId="77777777" w:rsidTr="00551F36">
        <w:trPr>
          <w:cantSplit/>
          <w:trHeight w:val="288"/>
          <w:tblHeader/>
        </w:trPr>
        <w:tc>
          <w:tcPr>
            <w:tcW w:w="5265" w:type="dxa"/>
            <w:vAlign w:val="center"/>
          </w:tcPr>
          <w:p w14:paraId="5D70762B" w14:textId="19D95BCB" w:rsidR="008B18B3" w:rsidRPr="00BD1CC1" w:rsidRDefault="008B18B3" w:rsidP="008A137F">
            <w:pPr>
              <w:pStyle w:val="TableHeader"/>
              <w:spacing w:after="0"/>
            </w:pPr>
            <w:r w:rsidRPr="008B18B3">
              <w:t>Body Mass Index Percentile Range</w:t>
            </w:r>
          </w:p>
        </w:tc>
        <w:tc>
          <w:tcPr>
            <w:tcW w:w="5595" w:type="dxa"/>
            <w:vAlign w:val="center"/>
          </w:tcPr>
          <w:p w14:paraId="3E723407" w14:textId="4624C07B" w:rsidR="008B18B3" w:rsidRPr="00BD1CC1" w:rsidRDefault="008B18B3" w:rsidP="008A137F">
            <w:pPr>
              <w:pStyle w:val="TableHeader"/>
              <w:spacing w:after="0"/>
            </w:pPr>
            <w:r w:rsidRPr="008B18B3">
              <w:t xml:space="preserve">Weight Status  </w:t>
            </w:r>
          </w:p>
        </w:tc>
      </w:tr>
      <w:tr w:rsidR="008B18B3" w:rsidRPr="00BD1CC1" w14:paraId="02CE45F8" w14:textId="77777777" w:rsidTr="00551F36">
        <w:trPr>
          <w:cantSplit/>
        </w:trPr>
        <w:tc>
          <w:tcPr>
            <w:tcW w:w="5265" w:type="dxa"/>
          </w:tcPr>
          <w:p w14:paraId="21F0B392" w14:textId="02DA74D4" w:rsidR="008B18B3" w:rsidRPr="008B18B3" w:rsidRDefault="008B18B3" w:rsidP="008A137F">
            <w:pPr>
              <w:pStyle w:val="TableDataUnpadded"/>
            </w:pPr>
            <w:r w:rsidRPr="008B18B3">
              <w:rPr>
                <w:rStyle w:val="normaltextrun"/>
                <w:color w:val="000000"/>
              </w:rPr>
              <w:t>Less than the 5th percentile</w:t>
            </w:r>
          </w:p>
        </w:tc>
        <w:tc>
          <w:tcPr>
            <w:tcW w:w="5595" w:type="dxa"/>
          </w:tcPr>
          <w:p w14:paraId="2A25AF99" w14:textId="78D65FBD" w:rsidR="008B18B3" w:rsidRPr="00BD1CC1" w:rsidRDefault="008B18B3" w:rsidP="008A137F">
            <w:pPr>
              <w:pStyle w:val="TableDataUnpadded"/>
            </w:pPr>
            <w:r w:rsidRPr="008B18B3">
              <w:t>Underweight</w:t>
            </w:r>
          </w:p>
        </w:tc>
      </w:tr>
      <w:tr w:rsidR="008B18B3" w:rsidRPr="00BD1CC1" w14:paraId="2D7BEF5C" w14:textId="77777777" w:rsidTr="00551F36">
        <w:trPr>
          <w:cantSplit/>
        </w:trPr>
        <w:tc>
          <w:tcPr>
            <w:tcW w:w="5265" w:type="dxa"/>
          </w:tcPr>
          <w:p w14:paraId="3E5EF636" w14:textId="37AA86DA" w:rsidR="008B18B3" w:rsidRPr="00BD1CC1" w:rsidRDefault="008B18B3" w:rsidP="008A137F">
            <w:pPr>
              <w:pStyle w:val="TableDataUnpadded"/>
            </w:pPr>
            <w:r w:rsidRPr="008B18B3">
              <w:t>5th percentile to less than the 85th percentile</w:t>
            </w:r>
          </w:p>
        </w:tc>
        <w:tc>
          <w:tcPr>
            <w:tcW w:w="5595" w:type="dxa"/>
          </w:tcPr>
          <w:p w14:paraId="5C185B85" w14:textId="46A79C43" w:rsidR="008B18B3" w:rsidRPr="00BD1CC1" w:rsidRDefault="008B18B3" w:rsidP="008A137F">
            <w:pPr>
              <w:pStyle w:val="TableDataUnpadded"/>
            </w:pPr>
            <w:r w:rsidRPr="008B18B3">
              <w:t>Healthy Weight</w:t>
            </w:r>
          </w:p>
        </w:tc>
      </w:tr>
      <w:tr w:rsidR="008B18B3" w:rsidRPr="00BD1CC1" w14:paraId="58F0E0E0" w14:textId="77777777" w:rsidTr="00551F36">
        <w:trPr>
          <w:cantSplit/>
        </w:trPr>
        <w:tc>
          <w:tcPr>
            <w:tcW w:w="5265" w:type="dxa"/>
          </w:tcPr>
          <w:p w14:paraId="069A616F" w14:textId="463DF935" w:rsidR="008B18B3" w:rsidRPr="00BD1CC1" w:rsidRDefault="008B18B3" w:rsidP="008A137F">
            <w:pPr>
              <w:pStyle w:val="TableDataUnpadded"/>
            </w:pPr>
            <w:r w:rsidRPr="008B18B3">
              <w:t>85th to less than the 95th percentile</w:t>
            </w:r>
          </w:p>
        </w:tc>
        <w:tc>
          <w:tcPr>
            <w:tcW w:w="5595" w:type="dxa"/>
          </w:tcPr>
          <w:p w14:paraId="6B989DF6" w14:textId="16C2BF5F" w:rsidR="008B18B3" w:rsidRPr="00BD1CC1" w:rsidRDefault="008B18B3" w:rsidP="008A137F">
            <w:pPr>
              <w:pStyle w:val="TableDataUnpadded"/>
            </w:pPr>
            <w:r w:rsidRPr="008B18B3">
              <w:t>Overweight</w:t>
            </w:r>
          </w:p>
        </w:tc>
      </w:tr>
      <w:tr w:rsidR="008B18B3" w:rsidRPr="00BD1CC1" w14:paraId="1CF866EF" w14:textId="77777777" w:rsidTr="00551F36">
        <w:trPr>
          <w:cantSplit/>
        </w:trPr>
        <w:tc>
          <w:tcPr>
            <w:tcW w:w="5265" w:type="dxa"/>
          </w:tcPr>
          <w:p w14:paraId="2BEFCA9E" w14:textId="70138D18" w:rsidR="008B18B3" w:rsidRDefault="008B18B3" w:rsidP="008A137F">
            <w:pPr>
              <w:pStyle w:val="TableDataUnpadded"/>
            </w:pPr>
            <w:r w:rsidRPr="008B18B3">
              <w:t>Equal to or greater than the 95th percentile</w:t>
            </w:r>
          </w:p>
        </w:tc>
        <w:tc>
          <w:tcPr>
            <w:tcW w:w="5595" w:type="dxa"/>
          </w:tcPr>
          <w:p w14:paraId="293CCFB0" w14:textId="4BBA7C0B" w:rsidR="008B18B3" w:rsidRPr="00BD1CC1" w:rsidRDefault="008B18B3" w:rsidP="008A137F">
            <w:pPr>
              <w:pStyle w:val="TableDataUnpadded"/>
            </w:pPr>
            <w:r w:rsidRPr="008B18B3">
              <w:t>Obese</w:t>
            </w:r>
          </w:p>
        </w:tc>
      </w:tr>
    </w:tbl>
    <w:p w14:paraId="0ACE7E93" w14:textId="543FB098" w:rsidR="004172BF" w:rsidRPr="00AB0812" w:rsidRDefault="008B18B3" w:rsidP="008A137F">
      <w:pPr>
        <w:pStyle w:val="Heading3"/>
      </w:pPr>
      <w:r w:rsidRPr="008B18B3">
        <w:t>Body Mass Index and Weight Status Category for Adults (20 Years of Age and Older)</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AB12D9" w:rsidRPr="00BD1CC1" w14:paraId="2874BE8A" w14:textId="77777777" w:rsidTr="000548AD">
        <w:trPr>
          <w:cantSplit/>
          <w:trHeight w:val="288"/>
          <w:tblHeader/>
        </w:trPr>
        <w:tc>
          <w:tcPr>
            <w:tcW w:w="5265" w:type="dxa"/>
            <w:vAlign w:val="center"/>
          </w:tcPr>
          <w:p w14:paraId="466F84D1" w14:textId="4B0ABB40" w:rsidR="00AB12D9" w:rsidRPr="00BD1CC1" w:rsidRDefault="008B18B3" w:rsidP="008A137F">
            <w:pPr>
              <w:pStyle w:val="TableHeader"/>
              <w:spacing w:after="0"/>
            </w:pPr>
            <w:r w:rsidRPr="008B18B3">
              <w:t>Body Mass Index</w:t>
            </w:r>
          </w:p>
        </w:tc>
        <w:tc>
          <w:tcPr>
            <w:tcW w:w="5595" w:type="dxa"/>
            <w:vAlign w:val="center"/>
          </w:tcPr>
          <w:p w14:paraId="3F472C21" w14:textId="44E96A00" w:rsidR="00AB12D9" w:rsidRPr="00BD1CC1" w:rsidRDefault="008B18B3" w:rsidP="008A137F">
            <w:pPr>
              <w:pStyle w:val="TableHeader"/>
              <w:spacing w:after="0"/>
            </w:pPr>
            <w:r w:rsidRPr="008B18B3">
              <w:t xml:space="preserve">Weight Status  </w:t>
            </w:r>
          </w:p>
        </w:tc>
      </w:tr>
      <w:tr w:rsidR="00AB12D9" w:rsidRPr="00BD1CC1" w14:paraId="6757E998" w14:textId="77777777" w:rsidTr="000548AD">
        <w:trPr>
          <w:cantSplit/>
        </w:trPr>
        <w:tc>
          <w:tcPr>
            <w:tcW w:w="5265" w:type="dxa"/>
          </w:tcPr>
          <w:p w14:paraId="21BE71BA" w14:textId="5F1D4D18" w:rsidR="00AB12D9" w:rsidRPr="00BD1CC1" w:rsidRDefault="008B18B3" w:rsidP="008A137F">
            <w:pPr>
              <w:pStyle w:val="TableDataUnpadded"/>
            </w:pPr>
            <w:r w:rsidRPr="008B18B3">
              <w:t>Below 18.5</w:t>
            </w:r>
          </w:p>
        </w:tc>
        <w:tc>
          <w:tcPr>
            <w:tcW w:w="5595" w:type="dxa"/>
          </w:tcPr>
          <w:p w14:paraId="221DABE3" w14:textId="7A331CAA" w:rsidR="00AB12D9" w:rsidRPr="00BD1CC1" w:rsidRDefault="008B18B3" w:rsidP="008A137F">
            <w:pPr>
              <w:pStyle w:val="TableDataUnpadded"/>
            </w:pPr>
            <w:r w:rsidRPr="008B18B3">
              <w:t>Underweight</w:t>
            </w:r>
          </w:p>
        </w:tc>
      </w:tr>
      <w:tr w:rsidR="00AB12D9" w:rsidRPr="00BD1CC1" w14:paraId="24ADB8CC" w14:textId="77777777" w:rsidTr="000548AD">
        <w:trPr>
          <w:cantSplit/>
        </w:trPr>
        <w:tc>
          <w:tcPr>
            <w:tcW w:w="5265" w:type="dxa"/>
          </w:tcPr>
          <w:p w14:paraId="32A96D06" w14:textId="563EC156" w:rsidR="00AB12D9" w:rsidRPr="00BD1CC1" w:rsidRDefault="008B18B3" w:rsidP="008A137F">
            <w:pPr>
              <w:pStyle w:val="TableDataUnpadded"/>
            </w:pPr>
            <w:r w:rsidRPr="008B18B3">
              <w:t>18.5 – 24.9</w:t>
            </w:r>
          </w:p>
        </w:tc>
        <w:tc>
          <w:tcPr>
            <w:tcW w:w="5595" w:type="dxa"/>
          </w:tcPr>
          <w:p w14:paraId="28C83BE0" w14:textId="781A63E5" w:rsidR="00AB12D9" w:rsidRPr="00BD1CC1" w:rsidRDefault="008B18B3" w:rsidP="008A137F">
            <w:pPr>
              <w:pStyle w:val="TableDataUnpadded"/>
            </w:pPr>
            <w:r w:rsidRPr="008B18B3">
              <w:t>Healthy Weight</w:t>
            </w:r>
          </w:p>
        </w:tc>
      </w:tr>
      <w:tr w:rsidR="00AB12D9" w:rsidRPr="00BD1CC1" w14:paraId="106EBC3E" w14:textId="77777777" w:rsidTr="000548AD">
        <w:trPr>
          <w:cantSplit/>
        </w:trPr>
        <w:tc>
          <w:tcPr>
            <w:tcW w:w="5265" w:type="dxa"/>
          </w:tcPr>
          <w:p w14:paraId="37973B55" w14:textId="7A50F58F" w:rsidR="00AB12D9" w:rsidRPr="00BD1CC1" w:rsidRDefault="008B18B3" w:rsidP="008A137F">
            <w:pPr>
              <w:pStyle w:val="TableDataUnpadded"/>
            </w:pPr>
            <w:r w:rsidRPr="008B18B3">
              <w:t>25.0 – 29.9</w:t>
            </w:r>
          </w:p>
        </w:tc>
        <w:tc>
          <w:tcPr>
            <w:tcW w:w="5595" w:type="dxa"/>
          </w:tcPr>
          <w:p w14:paraId="3FCC01D2" w14:textId="57C08F48" w:rsidR="00AB12D9" w:rsidRPr="00BD1CC1" w:rsidRDefault="008B18B3" w:rsidP="008A137F">
            <w:pPr>
              <w:pStyle w:val="TableDataUnpadded"/>
            </w:pPr>
            <w:r w:rsidRPr="008B18B3">
              <w:t>Overweight</w:t>
            </w:r>
          </w:p>
        </w:tc>
      </w:tr>
      <w:tr w:rsidR="00AB12D9" w:rsidRPr="00BD1CC1" w14:paraId="53164289" w14:textId="77777777" w:rsidTr="000548AD">
        <w:trPr>
          <w:cantSplit/>
        </w:trPr>
        <w:tc>
          <w:tcPr>
            <w:tcW w:w="5265" w:type="dxa"/>
          </w:tcPr>
          <w:p w14:paraId="59134DAB" w14:textId="1DA3EE58" w:rsidR="00AB12D9" w:rsidRDefault="008B18B3" w:rsidP="008A137F">
            <w:pPr>
              <w:pStyle w:val="TableDataUnpadded"/>
            </w:pPr>
            <w:r w:rsidRPr="008B18B3">
              <w:t>30.0 and Above</w:t>
            </w:r>
          </w:p>
        </w:tc>
        <w:tc>
          <w:tcPr>
            <w:tcW w:w="5595" w:type="dxa"/>
          </w:tcPr>
          <w:p w14:paraId="54977FFF" w14:textId="5438632F" w:rsidR="00AB12D9" w:rsidRPr="00BD1CC1" w:rsidRDefault="008B18B3" w:rsidP="008A137F">
            <w:pPr>
              <w:pStyle w:val="TableDataUnpadded"/>
            </w:pPr>
            <w:r w:rsidRPr="008B18B3">
              <w:t>Obese</w:t>
            </w:r>
          </w:p>
        </w:tc>
      </w:tr>
    </w:tbl>
    <w:p w14:paraId="10DA4309" w14:textId="577B6C70" w:rsidR="00FF66BF" w:rsidRDefault="00FF66BF" w:rsidP="00FF66BF">
      <w:pPr>
        <w:pStyle w:val="Heading2"/>
      </w:pPr>
      <w:r w:rsidRPr="008D1B34">
        <w:t>References</w:t>
      </w:r>
    </w:p>
    <w:p w14:paraId="1C68AA71" w14:textId="3AA08105" w:rsidR="008B18B3" w:rsidRPr="008B18B3" w:rsidRDefault="008B18B3" w:rsidP="009B21BE">
      <w:pPr>
        <w:pStyle w:val="ReferenceOrdered"/>
      </w:pPr>
      <w:proofErr w:type="spellStart"/>
      <w:r w:rsidRPr="008B18B3">
        <w:t>Agamree</w:t>
      </w:r>
      <w:proofErr w:type="spellEnd"/>
      <w:r w:rsidRPr="008B18B3">
        <w:t xml:space="preserve"> [package insert]. Burlington, MA: </w:t>
      </w:r>
      <w:proofErr w:type="spellStart"/>
      <w:r w:rsidRPr="008B18B3">
        <w:t>Santhera</w:t>
      </w:r>
      <w:proofErr w:type="spellEnd"/>
      <w:r w:rsidRPr="008B18B3">
        <w:t xml:space="preserve"> Pharmaceuticals (USA) Inc.; October 2023.</w:t>
      </w:r>
    </w:p>
    <w:p w14:paraId="765F7D66" w14:textId="6D81C225" w:rsidR="008B18B3" w:rsidRPr="008B18B3" w:rsidRDefault="008B18B3" w:rsidP="009B21BE">
      <w:pPr>
        <w:pStyle w:val="ReferenceOrdered"/>
      </w:pPr>
      <w:r w:rsidRPr="008B18B3">
        <w:t xml:space="preserve">Smith EC, Conklin LS, Hoffman EP, et al. Efficacy and safety of </w:t>
      </w:r>
      <w:proofErr w:type="spellStart"/>
      <w:r w:rsidRPr="008B18B3">
        <w:t>vamorolone</w:t>
      </w:r>
      <w:proofErr w:type="spellEnd"/>
      <w:r w:rsidRPr="008B18B3">
        <w:t xml:space="preserve"> in Duchenne muscular dystrophy: An 18-month interim analysis of a non-randomized open-label extension study. </w:t>
      </w:r>
      <w:proofErr w:type="spellStart"/>
      <w:r w:rsidRPr="008B18B3">
        <w:t>PLoS</w:t>
      </w:r>
      <w:proofErr w:type="spellEnd"/>
      <w:r w:rsidRPr="008B18B3">
        <w:t xml:space="preserve"> Med. 2020;17(9):e1003222. Published 2020 Sep 21.</w:t>
      </w:r>
    </w:p>
    <w:p w14:paraId="485AB5C7" w14:textId="1333E42F" w:rsidR="008B18B3" w:rsidRPr="008B18B3" w:rsidRDefault="008B18B3" w:rsidP="009B21BE">
      <w:pPr>
        <w:pStyle w:val="ReferenceOrdered"/>
      </w:pPr>
      <w:proofErr w:type="spellStart"/>
      <w:r w:rsidRPr="008B18B3">
        <w:t>Guglieri</w:t>
      </w:r>
      <w:proofErr w:type="spellEnd"/>
      <w:r w:rsidRPr="008B18B3">
        <w:t xml:space="preserve"> M, Clemens PR, Perlman SJ, et al. Efficacy and Safety of </w:t>
      </w:r>
      <w:proofErr w:type="spellStart"/>
      <w:r w:rsidRPr="008B18B3">
        <w:t>Vamorolone</w:t>
      </w:r>
      <w:proofErr w:type="spellEnd"/>
      <w:r w:rsidRPr="008B18B3">
        <w:t xml:space="preserve"> vs Placebo and Prednisone Among Boys With Duchenne Muscular Dystrophy: A Randomized Clinical Trial. JAMA Neurol. 2022;79(10):1005–1014.</w:t>
      </w:r>
    </w:p>
    <w:p w14:paraId="47E1A10C" w14:textId="267904E9" w:rsidR="00C44990" w:rsidRPr="00A404EF" w:rsidRDefault="008B18B3" w:rsidP="004C5D1B">
      <w:pPr>
        <w:pStyle w:val="ReferenceOrdered"/>
      </w:pPr>
      <w:r w:rsidRPr="008B18B3">
        <w:t>Centers for Disease Control and Prevention. Assessing Your Weight. https://www.cdc.gov/healthyweight/assessing/bmi/ Accessed March 1, 2024.</w:t>
      </w:r>
    </w:p>
    <w:sectPr w:rsidR="00C44990" w:rsidRPr="00A404EF" w:rsidSect="006F478A">
      <w:headerReference w:type="first" r:id="rId15"/>
      <w:footerReference w:type="first" r:id="rId16"/>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AF5D13" w14:textId="77777777" w:rsidR="0070228E" w:rsidRDefault="0070228E">
      <w:r>
        <w:separator/>
      </w:r>
    </w:p>
  </w:endnote>
  <w:endnote w:type="continuationSeparator" w:id="0">
    <w:p w14:paraId="30490937" w14:textId="77777777" w:rsidR="0070228E" w:rsidRDefault="0070228E">
      <w:r>
        <w:continuationSeparator/>
      </w:r>
    </w:p>
  </w:endnote>
  <w:endnote w:type="continuationNotice" w:id="1">
    <w:p w14:paraId="1E903DB9" w14:textId="77777777" w:rsidR="0070228E" w:rsidRDefault="007022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37225FE5" w:rsidR="00C36B72" w:rsidRPr="008A137F" w:rsidRDefault="00C36B72" w:rsidP="00C36B72">
    <w:pPr>
      <w:tabs>
        <w:tab w:val="right" w:pos="10710"/>
      </w:tabs>
      <w:spacing w:before="120" w:after="120"/>
      <w:rPr>
        <w:rStyle w:val="BodyTextChar"/>
        <w:sz w:val="16"/>
        <w:szCs w:val="16"/>
      </w:rPr>
    </w:pPr>
    <w:r w:rsidRPr="008A137F">
      <w:rPr>
        <w:rStyle w:val="BodyTextChar"/>
        <w:sz w:val="16"/>
        <w:szCs w:val="16"/>
        <w:lang w:val="pt-BR"/>
      </w:rPr>
      <w:fldChar w:fldCharType="begin"/>
    </w:r>
    <w:r w:rsidRPr="008A137F">
      <w:rPr>
        <w:rStyle w:val="BodyTextChar"/>
        <w:sz w:val="16"/>
        <w:szCs w:val="16"/>
      </w:rPr>
      <w:instrText xml:space="preserve"> FILENAME   \* MERGEFORMAT </w:instrText>
    </w:r>
    <w:r w:rsidRPr="008A137F">
      <w:rPr>
        <w:rStyle w:val="BodyTextChar"/>
        <w:sz w:val="16"/>
        <w:szCs w:val="16"/>
        <w:lang w:val="pt-BR"/>
      </w:rPr>
      <w:fldChar w:fldCharType="separate"/>
    </w:r>
    <w:r w:rsidR="00444227">
      <w:rPr>
        <w:rStyle w:val="BodyTextChar"/>
        <w:noProof/>
        <w:sz w:val="16"/>
        <w:szCs w:val="16"/>
      </w:rPr>
      <w:t>Agamree SGM 6225-A P2024a_R.docx</w:t>
    </w:r>
    <w:r w:rsidRPr="008A137F">
      <w:rPr>
        <w:rStyle w:val="BodyTextChar"/>
        <w:sz w:val="16"/>
        <w:szCs w:val="16"/>
      </w:rPr>
      <w:fldChar w:fldCharType="end"/>
    </w:r>
    <w:r w:rsidRPr="00EC47B6">
      <w:rPr>
        <w:rFonts w:cs="Arial"/>
        <w:snapToGrid w:val="0"/>
        <w:color w:val="000000"/>
        <w:sz w:val="16"/>
      </w:rPr>
      <w:tab/>
    </w:r>
    <w:r w:rsidRPr="008A137F">
      <w:rPr>
        <w:rStyle w:val="BodyTextChar"/>
        <w:sz w:val="16"/>
        <w:szCs w:val="16"/>
      </w:rPr>
      <w:t>© 202</w:t>
    </w:r>
    <w:r w:rsidR="008B6DBE" w:rsidRPr="008A137F">
      <w:rPr>
        <w:rStyle w:val="BodyTextChar"/>
        <w:sz w:val="16"/>
        <w:szCs w:val="16"/>
      </w:rPr>
      <w:t>4</w:t>
    </w:r>
    <w:r w:rsidRPr="008A137F">
      <w:rPr>
        <w:rStyle w:val="BodyTextChar"/>
        <w:sz w:val="16"/>
        <w:szCs w:val="16"/>
      </w:rPr>
      <w:t xml:space="preserve"> CVS Caremark. All rights reserved.</w:t>
    </w:r>
  </w:p>
  <w:p w14:paraId="61CF5924" w14:textId="1D443BA1" w:rsidR="00C36B72" w:rsidRPr="008A137F" w:rsidRDefault="00C36B72" w:rsidP="008A137F">
    <w:pPr>
      <w:pStyle w:val="BodyText"/>
      <w:rPr>
        <w:sz w:val="16"/>
        <w:szCs w:val="16"/>
      </w:rPr>
    </w:pPr>
    <w:r w:rsidRPr="008A137F">
      <w:rPr>
        <w:sz w:val="16"/>
        <w:szCs w:val="16"/>
      </w:rPr>
      <w:t>This document contains c</w:t>
    </w:r>
    <w:r w:rsidRPr="008A137F">
      <w:rPr>
        <w:snapToGrid w:val="0"/>
        <w:sz w:val="16"/>
        <w:szCs w:val="16"/>
      </w:rPr>
      <w:t xml:space="preserve">onfidential and proprietary information of CVS Caremark and cannot be reproduced, distributed or printed without written permission from </w:t>
    </w:r>
    <w:r w:rsidRPr="008A137F">
      <w:rPr>
        <w:rStyle w:val="MarginfooterChar"/>
      </w:rPr>
      <w:t>CVS Caremark</w:t>
    </w:r>
    <w:r w:rsidRPr="008A137F">
      <w:rPr>
        <w:snapToGrid w:val="0"/>
        <w:sz w:val="16"/>
        <w:szCs w:val="16"/>
      </w:rPr>
      <w:t xml:space="preserve">. </w:t>
    </w:r>
    <w:r w:rsidRPr="008A137F">
      <w:rPr>
        <w:sz w:val="16"/>
        <w:szCs w:val="16"/>
      </w:rPr>
      <w:t xml:space="preserve">This document contains prescription brand name drugs that are trademarks or registered trademarks of pharmaceutical manufacturers that are not affiliated with </w:t>
    </w:r>
    <w:r w:rsidRPr="008A137F">
      <w:rPr>
        <w:snapToGrid w:val="0"/>
        <w:sz w:val="16"/>
        <w:szCs w:val="16"/>
      </w:rPr>
      <w:t>CVS Caremark</w:t>
    </w:r>
    <w:r w:rsidRPr="008A137F">
      <w:rPr>
        <w:sz w:val="16"/>
        <w:szCs w:val="16"/>
      </w:rPr>
      <w:t>.</w:t>
    </w:r>
  </w:p>
  <w:p w14:paraId="0DF8DEBC" w14:textId="45F4A3B2" w:rsidR="00F75C81" w:rsidRPr="00AA1E6A" w:rsidRDefault="00C36B72" w:rsidP="00A404EF">
    <w:pPr>
      <w:pStyle w:val="BodyText"/>
      <w:spacing w:after="0"/>
      <w:jc w:val="center"/>
      <w:rPr>
        <w:sz w:val="16"/>
        <w:szCs w:val="16"/>
      </w:rPr>
    </w:pPr>
    <w:r w:rsidRPr="00EC47B6">
      <w:rPr>
        <w:sz w:val="16"/>
        <w:szCs w:val="16"/>
      </w:rPr>
      <w:fldChar w:fldCharType="begin"/>
    </w:r>
    <w:r w:rsidRPr="00EC47B6">
      <w:rPr>
        <w:sz w:val="16"/>
        <w:szCs w:val="16"/>
      </w:rPr>
      <w:instrText xml:space="preserve"> PAGE </w:instrText>
    </w:r>
    <w:r w:rsidRPr="00EC47B6">
      <w:rPr>
        <w:sz w:val="16"/>
        <w:szCs w:val="16"/>
      </w:rPr>
      <w:fldChar w:fldCharType="separate"/>
    </w:r>
    <w:r w:rsidRPr="00EC47B6">
      <w:rPr>
        <w:sz w:val="16"/>
        <w:szCs w:val="16"/>
      </w:rPr>
      <w:t>8</w:t>
    </w:r>
    <w:r w:rsidRPr="00EC47B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06843CA7" w:rsidR="00F50D98" w:rsidRPr="008A137F" w:rsidRDefault="00F50D98" w:rsidP="00F50D98">
    <w:pPr>
      <w:tabs>
        <w:tab w:val="right" w:pos="10710"/>
      </w:tabs>
      <w:spacing w:before="120" w:after="120"/>
      <w:rPr>
        <w:rStyle w:val="BodyTextChar"/>
        <w:sz w:val="16"/>
        <w:szCs w:val="16"/>
      </w:rPr>
    </w:pPr>
    <w:r w:rsidRPr="008A137F">
      <w:rPr>
        <w:rStyle w:val="BodyTextChar"/>
        <w:sz w:val="16"/>
        <w:szCs w:val="16"/>
        <w:lang w:val="pt-BR"/>
      </w:rPr>
      <w:fldChar w:fldCharType="begin"/>
    </w:r>
    <w:r w:rsidRPr="008A137F">
      <w:rPr>
        <w:rStyle w:val="BodyTextChar"/>
        <w:sz w:val="16"/>
        <w:szCs w:val="16"/>
      </w:rPr>
      <w:instrText xml:space="preserve"> FILENAME   \* MERGEFORMAT </w:instrText>
    </w:r>
    <w:r w:rsidRPr="008A137F">
      <w:rPr>
        <w:rStyle w:val="BodyTextChar"/>
        <w:sz w:val="16"/>
        <w:szCs w:val="16"/>
        <w:lang w:val="pt-BR"/>
      </w:rPr>
      <w:fldChar w:fldCharType="separate"/>
    </w:r>
    <w:r w:rsidR="00444227">
      <w:rPr>
        <w:rStyle w:val="BodyTextChar"/>
        <w:noProof/>
        <w:sz w:val="16"/>
        <w:szCs w:val="16"/>
      </w:rPr>
      <w:t>Agamree SGM 6225-A P2024a_R.docx</w:t>
    </w:r>
    <w:r w:rsidRPr="008A137F">
      <w:rPr>
        <w:rStyle w:val="BodyTextChar"/>
        <w:sz w:val="16"/>
        <w:szCs w:val="16"/>
      </w:rPr>
      <w:fldChar w:fldCharType="end"/>
    </w:r>
    <w:r w:rsidRPr="00EC47B6">
      <w:rPr>
        <w:rFonts w:cs="Arial"/>
        <w:snapToGrid w:val="0"/>
        <w:color w:val="000000"/>
        <w:sz w:val="16"/>
      </w:rPr>
      <w:tab/>
    </w:r>
    <w:r w:rsidRPr="008A137F">
      <w:rPr>
        <w:rStyle w:val="BodyTextChar"/>
        <w:sz w:val="16"/>
        <w:szCs w:val="16"/>
      </w:rPr>
      <w:t>© 202</w:t>
    </w:r>
    <w:r w:rsidR="00D74279" w:rsidRPr="008A137F">
      <w:rPr>
        <w:rStyle w:val="BodyTextChar"/>
        <w:sz w:val="16"/>
        <w:szCs w:val="16"/>
      </w:rPr>
      <w:t>4</w:t>
    </w:r>
    <w:r w:rsidRPr="008A137F">
      <w:rPr>
        <w:rStyle w:val="BodyTextChar"/>
        <w:sz w:val="16"/>
        <w:szCs w:val="16"/>
      </w:rPr>
      <w:t xml:space="preserve"> CVS Caremark. All rights reserved.</w:t>
    </w:r>
  </w:p>
  <w:p w14:paraId="39BFE579" w14:textId="6E1E739A" w:rsidR="00F50D98" w:rsidRPr="008A137F" w:rsidRDefault="00F50D98" w:rsidP="008A137F">
    <w:pPr>
      <w:pStyle w:val="BodyText"/>
      <w:rPr>
        <w:sz w:val="16"/>
        <w:szCs w:val="16"/>
      </w:rPr>
    </w:pPr>
    <w:r w:rsidRPr="008A137F">
      <w:rPr>
        <w:sz w:val="16"/>
        <w:szCs w:val="16"/>
      </w:rPr>
      <w:t>This document contains c</w:t>
    </w:r>
    <w:r w:rsidRPr="008A137F">
      <w:rPr>
        <w:snapToGrid w:val="0"/>
        <w:sz w:val="16"/>
        <w:szCs w:val="16"/>
      </w:rPr>
      <w:t xml:space="preserve">onfidential and proprietary information of CVS Caremark and cannot be reproduced, distributed or printed without written permission from CVS Caremark. </w:t>
    </w:r>
    <w:r w:rsidRPr="008A137F">
      <w:rPr>
        <w:sz w:val="16"/>
        <w:szCs w:val="16"/>
      </w:rPr>
      <w:t xml:space="preserve">This document contains prescription brand name drugs that are trademarks or registered trademarks of pharmaceutical manufacturers that are not affiliated with </w:t>
    </w:r>
    <w:r w:rsidRPr="008A137F">
      <w:rPr>
        <w:snapToGrid w:val="0"/>
        <w:sz w:val="16"/>
        <w:szCs w:val="16"/>
      </w:rPr>
      <w:t>CVS Caremark</w:t>
    </w:r>
    <w:r w:rsidRPr="008A137F">
      <w:rPr>
        <w:sz w:val="16"/>
        <w:szCs w:val="16"/>
      </w:rPr>
      <w:t>.</w:t>
    </w:r>
  </w:p>
  <w:p w14:paraId="64F317B8" w14:textId="59823878" w:rsidR="00ED04EC" w:rsidRPr="00F50D98" w:rsidRDefault="00F50D98" w:rsidP="00A404EF">
    <w:pPr>
      <w:pStyle w:val="BodyText"/>
      <w:spacing w:after="0"/>
      <w:jc w:val="center"/>
      <w:rPr>
        <w:sz w:val="16"/>
        <w:szCs w:val="16"/>
      </w:rPr>
    </w:pPr>
    <w:r w:rsidRPr="008A137F">
      <w:rPr>
        <w:sz w:val="16"/>
        <w:szCs w:val="16"/>
      </w:rPr>
      <w:fldChar w:fldCharType="begin"/>
    </w:r>
    <w:r w:rsidRPr="008A137F">
      <w:rPr>
        <w:sz w:val="16"/>
        <w:szCs w:val="16"/>
      </w:rPr>
      <w:instrText xml:space="preserve"> PAGE </w:instrText>
    </w:r>
    <w:r w:rsidRPr="008A137F">
      <w:rPr>
        <w:sz w:val="16"/>
        <w:szCs w:val="16"/>
      </w:rPr>
      <w:fldChar w:fldCharType="separate"/>
    </w:r>
    <w:r w:rsidRPr="008A137F">
      <w:rPr>
        <w:sz w:val="16"/>
        <w:szCs w:val="16"/>
      </w:rPr>
      <w:t>2</w:t>
    </w:r>
    <w:r w:rsidRPr="008A137F">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36986" w14:textId="3BF1AB08" w:rsidR="009B21BE" w:rsidRPr="00F50D98" w:rsidRDefault="009B21BE"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C6689" w14:textId="77777777" w:rsidR="0070228E" w:rsidRDefault="0070228E">
      <w:r>
        <w:separator/>
      </w:r>
    </w:p>
  </w:footnote>
  <w:footnote w:type="continuationSeparator" w:id="0">
    <w:p w14:paraId="49BB0C2E" w14:textId="77777777" w:rsidR="0070228E" w:rsidRDefault="0070228E">
      <w:r>
        <w:continuationSeparator/>
      </w:r>
    </w:p>
  </w:footnote>
  <w:footnote w:type="continuationNotice" w:id="1">
    <w:p w14:paraId="5225C345" w14:textId="77777777" w:rsidR="0070228E" w:rsidRDefault="007022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1B7574" w:rsidRDefault="00ED04EC" w:rsidP="001B7574">
          <w:pPr>
            <w:pStyle w:val="RefTableData"/>
          </w:pPr>
          <w:r w:rsidRPr="001B7574">
            <w:t>Reference number(s)</w:t>
          </w:r>
        </w:p>
      </w:tc>
    </w:tr>
    <w:tr w:rsidR="00ED04EC" w:rsidRPr="00ED04EC" w14:paraId="703C6588" w14:textId="77777777" w:rsidTr="0006569F">
      <w:trPr>
        <w:trHeight w:val="378"/>
        <w:jc w:val="right"/>
      </w:trPr>
      <w:tc>
        <w:tcPr>
          <w:tcW w:w="1854" w:type="dxa"/>
          <w:hideMark/>
        </w:tcPr>
        <w:p w14:paraId="51CE3E64" w14:textId="5C592EBC" w:rsidR="00ED04EC" w:rsidRPr="001B7574" w:rsidRDefault="00A90F40" w:rsidP="001B7574">
          <w:pPr>
            <w:pStyle w:val="RefTableData"/>
          </w:pPr>
          <w:r w:rsidRPr="001B7574">
            <w:t>6225-A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9B21BE" w:rsidRPr="00AA1E6A" w14:paraId="6A924BE6" w14:textId="77777777" w:rsidTr="00551F36">
      <w:trPr>
        <w:trHeight w:val="144"/>
        <w:jc w:val="right"/>
      </w:trPr>
      <w:tc>
        <w:tcPr>
          <w:tcW w:w="1854" w:type="dxa"/>
          <w:hideMark/>
        </w:tcPr>
        <w:p w14:paraId="08D1901D" w14:textId="77777777" w:rsidR="009B21BE" w:rsidRPr="00AA1E6A" w:rsidRDefault="009B21BE" w:rsidP="008A137F">
          <w:pPr>
            <w:pStyle w:val="RefTableData"/>
          </w:pPr>
          <w:r w:rsidRPr="00AA1E6A">
            <w:t>Reference number(s)</w:t>
          </w:r>
        </w:p>
      </w:tc>
    </w:tr>
    <w:tr w:rsidR="009B21BE" w:rsidRPr="004C7F1D" w14:paraId="28C713BD" w14:textId="77777777" w:rsidTr="00551F36">
      <w:trPr>
        <w:trHeight w:val="378"/>
        <w:jc w:val="right"/>
      </w:trPr>
      <w:tc>
        <w:tcPr>
          <w:tcW w:w="1854" w:type="dxa"/>
          <w:hideMark/>
        </w:tcPr>
        <w:p w14:paraId="0976AC92" w14:textId="77777777" w:rsidR="009B21BE" w:rsidRPr="004C7F1D" w:rsidRDefault="009B21BE" w:rsidP="008A137F">
          <w:pPr>
            <w:pStyle w:val="RefTableData"/>
          </w:pPr>
          <w:r w:rsidRPr="00A90F40">
            <w:t>6225-A</w:t>
          </w:r>
        </w:p>
      </w:tc>
    </w:tr>
  </w:tbl>
  <w:p w14:paraId="60E33E15" w14:textId="77777777" w:rsidR="009B21BE" w:rsidRPr="009B21BE" w:rsidRDefault="009B21BE">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0E0788"/>
    <w:multiLevelType w:val="hybridMultilevel"/>
    <w:tmpl w:val="138E86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3F7A5E"/>
    <w:multiLevelType w:val="hybridMultilevel"/>
    <w:tmpl w:val="466040F0"/>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91F1F2C"/>
    <w:multiLevelType w:val="hybridMultilevel"/>
    <w:tmpl w:val="6780FA32"/>
    <w:lvl w:ilvl="0" w:tplc="831894B4">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3DF0742"/>
    <w:multiLevelType w:val="hybridMultilevel"/>
    <w:tmpl w:val="1A8256B4"/>
    <w:lvl w:ilvl="0" w:tplc="713096F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5FA529C"/>
    <w:multiLevelType w:val="multilevel"/>
    <w:tmpl w:val="BF92E4F6"/>
    <w:lvl w:ilvl="0">
      <w:start w:val="1"/>
      <w:numFmt w:val="none"/>
      <w:lvlText w:val="A."/>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9"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26205175"/>
    <w:multiLevelType w:val="hybridMultilevel"/>
    <w:tmpl w:val="81E2510E"/>
    <w:lvl w:ilvl="0" w:tplc="9A2C22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B535B0B"/>
    <w:multiLevelType w:val="hybridMultilevel"/>
    <w:tmpl w:val="07CEE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0A2E5E"/>
    <w:multiLevelType w:val="hybridMultilevel"/>
    <w:tmpl w:val="D1CE7A94"/>
    <w:lvl w:ilvl="0" w:tplc="883AC132">
      <w:start w:val="1"/>
      <w:numFmt w:val="upperLetter"/>
      <w:lvlText w:val="%1."/>
      <w:lvlJc w:val="left"/>
      <w:pPr>
        <w:ind w:left="1080" w:hanging="720"/>
      </w:pPr>
      <w:rPr>
        <w:rFonts w:hint="default"/>
      </w:rPr>
    </w:lvl>
    <w:lvl w:ilvl="1" w:tplc="3434184C">
      <w:start w:val="1"/>
      <w:numFmt w:val="decimal"/>
      <w:lvlText w:val="%2."/>
      <w:lvlJc w:val="left"/>
      <w:pPr>
        <w:ind w:left="1800" w:hanging="720"/>
      </w:pPr>
      <w:rPr>
        <w:rFonts w:hint="default"/>
      </w:rPr>
    </w:lvl>
    <w:lvl w:ilvl="2" w:tplc="0D167ADA">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A75E9E"/>
    <w:multiLevelType w:val="hybridMultilevel"/>
    <w:tmpl w:val="603C40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FC624A0"/>
    <w:multiLevelType w:val="hybridMultilevel"/>
    <w:tmpl w:val="44586080"/>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8E669F"/>
    <w:multiLevelType w:val="hybridMultilevel"/>
    <w:tmpl w:val="5E86B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DE36F5"/>
    <w:multiLevelType w:val="hybridMultilevel"/>
    <w:tmpl w:val="16983892"/>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4"/>
  </w:num>
  <w:num w:numId="2" w16cid:durableId="606935877">
    <w:abstractNumId w:val="34"/>
  </w:num>
  <w:num w:numId="3" w16cid:durableId="611589570">
    <w:abstractNumId w:val="29"/>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5"/>
  </w:num>
  <w:num w:numId="15" w16cid:durableId="616722934">
    <w:abstractNumId w:val="11"/>
  </w:num>
  <w:num w:numId="16" w16cid:durableId="898320195">
    <w:abstractNumId w:val="23"/>
  </w:num>
  <w:num w:numId="17" w16cid:durableId="2128498676">
    <w:abstractNumId w:val="36"/>
  </w:num>
  <w:num w:numId="18" w16cid:durableId="299724409">
    <w:abstractNumId w:val="30"/>
  </w:num>
  <w:num w:numId="19" w16cid:durableId="214585573">
    <w:abstractNumId w:val="18"/>
  </w:num>
  <w:num w:numId="20" w16cid:durableId="1289816170">
    <w:abstractNumId w:val="19"/>
  </w:num>
  <w:num w:numId="21" w16cid:durableId="1066490929">
    <w:abstractNumId w:val="38"/>
  </w:num>
  <w:num w:numId="22" w16cid:durableId="1472481103">
    <w:abstractNumId w:val="32"/>
  </w:num>
  <w:num w:numId="23" w16cid:durableId="1997420403">
    <w:abstractNumId w:val="35"/>
  </w:num>
  <w:num w:numId="24" w16cid:durableId="33312838">
    <w:abstractNumId w:val="31"/>
  </w:num>
  <w:num w:numId="25" w16cid:durableId="507404939">
    <w:abstractNumId w:val="22"/>
  </w:num>
  <w:num w:numId="26" w16cid:durableId="1950313333">
    <w:abstractNumId w:val="26"/>
  </w:num>
  <w:num w:numId="27" w16cid:durableId="1866016584">
    <w:abstractNumId w:val="24"/>
  </w:num>
  <w:num w:numId="28" w16cid:durableId="645478632">
    <w:abstractNumId w:val="33"/>
  </w:num>
  <w:num w:numId="29" w16cid:durableId="829951765">
    <w:abstractNumId w:val="16"/>
  </w:num>
  <w:num w:numId="30" w16cid:durableId="1885411445">
    <w:abstractNumId w:val="10"/>
  </w:num>
  <w:num w:numId="31" w16cid:durableId="795299376">
    <w:abstractNumId w:val="25"/>
  </w:num>
  <w:num w:numId="32" w16cid:durableId="922372498">
    <w:abstractNumId w:val="12"/>
  </w:num>
  <w:num w:numId="33" w16cid:durableId="611518590">
    <w:abstractNumId w:val="37"/>
  </w:num>
  <w:num w:numId="34" w16cid:durableId="1078209952">
    <w:abstractNumId w:val="28"/>
  </w:num>
  <w:num w:numId="35" w16cid:durableId="1188716277">
    <w:abstractNumId w:val="21"/>
  </w:num>
  <w:num w:numId="36" w16cid:durableId="849568832">
    <w:abstractNumId w:val="13"/>
  </w:num>
  <w:num w:numId="37" w16cid:durableId="1494681588">
    <w:abstractNumId w:val="27"/>
  </w:num>
  <w:num w:numId="38" w16cid:durableId="330180595">
    <w:abstractNumId w:val="20"/>
  </w:num>
  <w:num w:numId="39" w16cid:durableId="1008295342">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5CAD"/>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6A1A"/>
    <w:rsid w:val="00037636"/>
    <w:rsid w:val="00037A95"/>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422"/>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1DEB"/>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2B19"/>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B7574"/>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C7FD3"/>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07BC"/>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1909"/>
    <w:rsid w:val="00402C8F"/>
    <w:rsid w:val="00402FED"/>
    <w:rsid w:val="00403087"/>
    <w:rsid w:val="004032A5"/>
    <w:rsid w:val="00403CAE"/>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22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5D1B"/>
    <w:rsid w:val="004C64EE"/>
    <w:rsid w:val="004C6FCE"/>
    <w:rsid w:val="004C7E69"/>
    <w:rsid w:val="004C7F1D"/>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194C"/>
    <w:rsid w:val="005C2667"/>
    <w:rsid w:val="005C295A"/>
    <w:rsid w:val="005C2C21"/>
    <w:rsid w:val="005C3B4F"/>
    <w:rsid w:val="005C44D1"/>
    <w:rsid w:val="005C4798"/>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646"/>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478A"/>
    <w:rsid w:val="006F53D8"/>
    <w:rsid w:val="006F5F82"/>
    <w:rsid w:val="006F6AD5"/>
    <w:rsid w:val="006F7127"/>
    <w:rsid w:val="00700342"/>
    <w:rsid w:val="007006E7"/>
    <w:rsid w:val="00701964"/>
    <w:rsid w:val="00701BB0"/>
    <w:rsid w:val="0070228E"/>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BE4"/>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4FA8"/>
    <w:rsid w:val="008254BC"/>
    <w:rsid w:val="0082615D"/>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49A1"/>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37F"/>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18B3"/>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2C9A"/>
    <w:rsid w:val="008F4B96"/>
    <w:rsid w:val="008F53E8"/>
    <w:rsid w:val="008F58D0"/>
    <w:rsid w:val="008F5F59"/>
    <w:rsid w:val="008F640B"/>
    <w:rsid w:val="008F79F2"/>
    <w:rsid w:val="008F7B57"/>
    <w:rsid w:val="0090242B"/>
    <w:rsid w:val="00903866"/>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21BE"/>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F0845"/>
    <w:rsid w:val="009F1461"/>
    <w:rsid w:val="009F1EDE"/>
    <w:rsid w:val="009F2CEE"/>
    <w:rsid w:val="009F2EF1"/>
    <w:rsid w:val="009F3F1F"/>
    <w:rsid w:val="009F426B"/>
    <w:rsid w:val="009F4ACC"/>
    <w:rsid w:val="009F5C95"/>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4EF"/>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0F40"/>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298D"/>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0E54"/>
    <w:rsid w:val="00BD1CC1"/>
    <w:rsid w:val="00BD2A68"/>
    <w:rsid w:val="00BD2E54"/>
    <w:rsid w:val="00BD5061"/>
    <w:rsid w:val="00BD589A"/>
    <w:rsid w:val="00BD5D53"/>
    <w:rsid w:val="00BD640C"/>
    <w:rsid w:val="00BD672B"/>
    <w:rsid w:val="00BD6ED4"/>
    <w:rsid w:val="00BE0818"/>
    <w:rsid w:val="00BE1277"/>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260"/>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944"/>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03C"/>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B5A"/>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AAF"/>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A9F"/>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6D3D"/>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88BE3465-205C-4360-84BA-C9C6620B9204}"/>
</file>

<file path=customXml/itemProps4.xml><?xml version="1.0" encoding="utf-8"?>
<ds:datastoreItem xmlns:ds="http://schemas.openxmlformats.org/officeDocument/2006/customXml" ds:itemID="{A243CFE1-08DE-432F-83DD-4933F5F97812}">
  <ds:schemaRefs>
    <ds:schemaRef ds:uri="http://schemas.microsoft.com/office/infopath/2007/PartnerControls"/>
    <ds:schemaRef ds:uri="http://purl.org/dc/term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ce173f13-e3a2-4c5f-8c54-d0382ae88016"/>
    <ds:schemaRef ds:uri="http://purl.org/dc/dcmitype/"/>
    <ds:schemaRef ds:uri="102fadf2-6cae-45bc-95f6-bc2613b98572"/>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616</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Agamree 6225-A SGM 2024</vt:lpstr>
    </vt:vector>
  </TitlesOfParts>
  <Company>PCS Health Systems</Company>
  <LinksUpToDate>false</LinksUpToDate>
  <CharactersWithSpaces>4381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Agamree 6225-A SGM 2024</dc:title>
  <dc:subject/>
  <dc:creator>CVS Caremark</dc:creator>
  <cp:keywords/>
  <cp:lastModifiedBy>Jones, Benjamin R</cp:lastModifiedBy>
  <cp:revision>5</cp:revision>
  <cp:lastPrinted>2018-01-09T05:01:00Z</cp:lastPrinted>
  <dcterms:created xsi:type="dcterms:W3CDTF">2024-12-19T20:20:00Z</dcterms:created>
  <dcterms:modified xsi:type="dcterms:W3CDTF">2024-12-19T20:23:00Z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827300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